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4D42" w14:textId="77777777" w:rsidR="00722B4E" w:rsidRDefault="00722B4E">
      <w:pPr>
        <w:rPr>
          <w:rFonts w:ascii="Arial Unicode MS" w:eastAsia="Arial Unicode MS" w:hAnsi="Arial Unicode MS" w:cs="Arial Unicode MS"/>
          <w:sz w:val="22"/>
        </w:rPr>
      </w:pPr>
    </w:p>
    <w:p w14:paraId="28684D43" w14:textId="77777777" w:rsidR="00722B4E" w:rsidRDefault="00152BC4">
      <w:pPr>
        <w:ind w:left="709"/>
        <w:jc w:val="both"/>
        <w:rPr>
          <w:rFonts w:ascii="Cogito" w:hAnsi="Cogito" w:cs="Arial Unicode MS"/>
          <w:b/>
          <w:sz w:val="22"/>
          <w:szCs w:val="22"/>
        </w:rPr>
      </w:pPr>
      <w:proofErr w:type="spellStart"/>
      <w:r>
        <w:rPr>
          <w:rFonts w:ascii="Cogito" w:hAnsi="Cogito" w:cs="Arial Unicode MS"/>
          <w:b/>
          <w:sz w:val="22"/>
          <w:szCs w:val="22"/>
        </w:rPr>
        <w:t>AdhexPharma</w:t>
      </w:r>
      <w:proofErr w:type="spellEnd"/>
      <w:r>
        <w:rPr>
          <w:rFonts w:ascii="Cogito" w:hAnsi="Cogito" w:cs="Arial Unicode MS"/>
          <w:b/>
          <w:sz w:val="22"/>
          <w:szCs w:val="22"/>
        </w:rPr>
        <w:t xml:space="preserve"> (www.adhexpharma.com) est une jeune entreprise experte dans la conception et la production de systèmes transdermiques (patchs) et films </w:t>
      </w:r>
      <w:proofErr w:type="spellStart"/>
      <w:r>
        <w:rPr>
          <w:rFonts w:ascii="Cogito" w:hAnsi="Cogito" w:cs="Arial Unicode MS"/>
          <w:b/>
          <w:sz w:val="22"/>
          <w:szCs w:val="22"/>
        </w:rPr>
        <w:t>oro-dispersibles</w:t>
      </w:r>
      <w:proofErr w:type="spellEnd"/>
      <w:r>
        <w:rPr>
          <w:rFonts w:ascii="Cogito" w:hAnsi="Cogito" w:cs="Arial Unicode MS"/>
          <w:b/>
          <w:sz w:val="22"/>
          <w:szCs w:val="22"/>
        </w:rPr>
        <w:t xml:space="preserve"> pour l’Industrie Pharmaceutique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28684D44" w14:textId="77777777" w:rsidR="00722B4E" w:rsidRDefault="00152BC4">
      <w:pPr>
        <w:ind w:left="709"/>
        <w:jc w:val="both"/>
        <w:rPr>
          <w:rFonts w:ascii="Cogito" w:hAnsi="Cogito" w:cs="Arial Unicode MS"/>
          <w:b/>
          <w:sz w:val="22"/>
          <w:szCs w:val="22"/>
        </w:rPr>
      </w:pPr>
      <w:r>
        <w:rPr>
          <w:rFonts w:ascii="Cogito" w:hAnsi="Cogito" w:cs="Arial Unicode MS"/>
          <w:b/>
          <w:sz w:val="22"/>
          <w:szCs w:val="22"/>
        </w:rPr>
        <w:t xml:space="preserve">Classée à la première place du classement 2018 Les Echos, </w:t>
      </w:r>
      <w:proofErr w:type="spellStart"/>
      <w:r>
        <w:rPr>
          <w:rFonts w:ascii="Cogito" w:hAnsi="Cogito" w:cs="Arial Unicode MS"/>
          <w:b/>
          <w:sz w:val="22"/>
          <w:szCs w:val="22"/>
        </w:rPr>
        <w:t>AdhexPharma</w:t>
      </w:r>
      <w:proofErr w:type="spellEnd"/>
      <w:r>
        <w:rPr>
          <w:rFonts w:ascii="Cogito" w:hAnsi="Cogito" w:cs="Arial Unicode MS"/>
          <w:b/>
          <w:sz w:val="22"/>
          <w:szCs w:val="22"/>
        </w:rPr>
        <w:t xml:space="preserve"> «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Cogito" w:hAnsi="Cogito" w:cs="Arial Unicode MS"/>
          <w:b/>
          <w:sz w:val="22"/>
          <w:szCs w:val="22"/>
        </w:rPr>
        <w:t>Championne de la croissance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Cogito" w:hAnsi="Cogito" w:cs="Cogito"/>
          <w:b/>
          <w:sz w:val="22"/>
          <w:szCs w:val="22"/>
        </w:rPr>
        <w:t xml:space="preserve">» en France, </w:t>
      </w:r>
      <w:r>
        <w:rPr>
          <w:rFonts w:ascii="Cogito" w:hAnsi="Cogito" w:cs="Arial Unicode MS"/>
          <w:b/>
          <w:sz w:val="22"/>
          <w:szCs w:val="22"/>
        </w:rPr>
        <w:t>possède un savoir-faire unique qu’elle met au service de grands groupes pharmaceutiques  internationaux.</w:t>
      </w:r>
    </w:p>
    <w:p w14:paraId="28684D45" w14:textId="77777777" w:rsidR="00722B4E" w:rsidRDefault="00722B4E">
      <w:pPr>
        <w:ind w:left="709"/>
        <w:jc w:val="both"/>
        <w:rPr>
          <w:rFonts w:ascii="Cogito" w:hAnsi="Cogito" w:cs="Arial"/>
          <w:sz w:val="22"/>
          <w:szCs w:val="22"/>
        </w:rPr>
      </w:pPr>
    </w:p>
    <w:p w14:paraId="28684D46" w14:textId="77777777" w:rsidR="00722B4E" w:rsidRDefault="00152BC4">
      <w:pPr>
        <w:ind w:left="709"/>
        <w:jc w:val="both"/>
        <w:rPr>
          <w:rFonts w:ascii="Cogito" w:hAnsi="Cogito" w:cs="Arial"/>
          <w:sz w:val="22"/>
          <w:szCs w:val="22"/>
        </w:rPr>
      </w:pPr>
      <w:r>
        <w:rPr>
          <w:rFonts w:ascii="Cogito" w:hAnsi="Cogito" w:cs="Arial"/>
          <w:sz w:val="22"/>
          <w:szCs w:val="22"/>
        </w:rPr>
        <w:t xml:space="preserve">Dans le cadre </w:t>
      </w:r>
      <w:r w:rsidR="00461D8C">
        <w:rPr>
          <w:rFonts w:ascii="Cogito" w:hAnsi="Cogito" w:cs="Arial"/>
          <w:sz w:val="22"/>
          <w:szCs w:val="22"/>
        </w:rPr>
        <w:t>de la croissance de nos activité</w:t>
      </w:r>
      <w:r>
        <w:rPr>
          <w:rFonts w:ascii="Cogito" w:hAnsi="Cogito" w:cs="Arial"/>
          <w:sz w:val="22"/>
          <w:szCs w:val="22"/>
        </w:rPr>
        <w:t xml:space="preserve">s, </w:t>
      </w:r>
      <w:proofErr w:type="spellStart"/>
      <w:r>
        <w:rPr>
          <w:rFonts w:ascii="Cogito" w:hAnsi="Cogito" w:cs="Arial"/>
          <w:sz w:val="22"/>
          <w:szCs w:val="22"/>
        </w:rPr>
        <w:t>AdhexPharma</w:t>
      </w:r>
      <w:proofErr w:type="spellEnd"/>
      <w:r>
        <w:rPr>
          <w:rFonts w:ascii="Cogito" w:hAnsi="Cogito" w:cs="Arial"/>
          <w:sz w:val="22"/>
          <w:szCs w:val="22"/>
        </w:rPr>
        <w:t xml:space="preserve"> recherche :</w:t>
      </w:r>
    </w:p>
    <w:p w14:paraId="28684D47" w14:textId="77777777" w:rsidR="00722B4E" w:rsidRDefault="00722B4E">
      <w:pPr>
        <w:pStyle w:val="Corpsdetexte2"/>
        <w:ind w:left="709"/>
        <w:jc w:val="left"/>
        <w:rPr>
          <w:rFonts w:ascii="Cogito" w:hAnsi="Cogito" w:cs="Arial"/>
          <w:b w:val="0"/>
          <w:bCs w:val="0"/>
          <w:sz w:val="22"/>
          <w:szCs w:val="22"/>
        </w:rPr>
      </w:pPr>
    </w:p>
    <w:p w14:paraId="28684D48" w14:textId="36F5311C" w:rsidR="00722B4E" w:rsidRDefault="00152BC4">
      <w:pPr>
        <w:pStyle w:val="Corpsdetexte2"/>
        <w:ind w:left="709"/>
        <w:rPr>
          <w:rFonts w:ascii="Cogito" w:hAnsi="Cogito" w:cs="Arial"/>
          <w:color w:val="31849B" w:themeColor="accent5" w:themeShade="BF"/>
          <w:sz w:val="22"/>
          <w:szCs w:val="22"/>
        </w:rPr>
      </w:pPr>
      <w:r>
        <w:rPr>
          <w:rFonts w:ascii="Cogito" w:hAnsi="Cogito" w:cs="Arial"/>
          <w:color w:val="31849B" w:themeColor="accent5" w:themeShade="BF"/>
          <w:sz w:val="22"/>
          <w:szCs w:val="22"/>
        </w:rPr>
        <w:t xml:space="preserve"> 1 TECHNICIEN CHIMISTE (H/F)</w:t>
      </w:r>
    </w:p>
    <w:p w14:paraId="28684D49" w14:textId="77777777" w:rsidR="00722B4E" w:rsidRDefault="00722B4E">
      <w:pPr>
        <w:pStyle w:val="Corpsdetexte2"/>
        <w:rPr>
          <w:rFonts w:eastAsia="Arial Unicode MS"/>
          <w:sz w:val="20"/>
        </w:rPr>
      </w:pPr>
    </w:p>
    <w:p w14:paraId="28684D4A" w14:textId="77777777" w:rsidR="00722B4E" w:rsidRDefault="00152BC4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Rattaché(e) à la Chef d’équipe du Pôle Analyses du laboratoire, au sein d’une équipe laboratoire d’une trentaine de personnes au global, le / la Technicien(ne) chimiste participe à :</w:t>
      </w:r>
    </w:p>
    <w:p w14:paraId="28684D4B" w14:textId="77777777" w:rsidR="00722B4E" w:rsidRDefault="00722B4E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</w:p>
    <w:p w14:paraId="28684D4C" w14:textId="77777777" w:rsidR="00722B4E" w:rsidRDefault="00152BC4">
      <w:pPr>
        <w:numPr>
          <w:ilvl w:val="0"/>
          <w:numId w:val="1"/>
        </w:numPr>
        <w:ind w:firstLine="0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L’analyse et au contrôle physico-chimique des articles de conditionnement, matières premières, produits semi-finis et produits finis.</w:t>
      </w:r>
    </w:p>
    <w:p w14:paraId="28684D4D" w14:textId="77777777" w:rsidR="00722B4E" w:rsidRDefault="00152BC4">
      <w:pPr>
        <w:numPr>
          <w:ilvl w:val="0"/>
          <w:numId w:val="1"/>
        </w:numPr>
        <w:ind w:firstLine="0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L’analyse des produits en stabilité.</w:t>
      </w:r>
    </w:p>
    <w:p w14:paraId="28684D4E" w14:textId="77777777" w:rsidR="00722B4E" w:rsidRDefault="00722B4E">
      <w:pPr>
        <w:ind w:left="426"/>
        <w:jc w:val="both"/>
        <w:rPr>
          <w:rFonts w:ascii="Arial Unicode MS" w:eastAsia="Arial Unicode MS" w:hAnsi="Arial Unicode MS" w:cs="Arial Unicode MS"/>
          <w:sz w:val="20"/>
        </w:rPr>
      </w:pPr>
    </w:p>
    <w:p w14:paraId="28684D4F" w14:textId="77777777" w:rsidR="00722B4E" w:rsidRDefault="00152BC4">
      <w:pPr>
        <w:pStyle w:val="Retraitcorpsdetexte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Vous êtes titulaire d’un Bac +2 type DUT/BTS ou d’un Bac +3 type Licence Professionnelle à dominante Chimie/Biochimie ou Biologie. Une première expérience </w:t>
      </w:r>
      <w:r>
        <w:rPr>
          <w:rFonts w:ascii="Arial Unicode MS" w:eastAsia="Arial Unicode MS" w:hAnsi="Arial Unicode MS" w:cs="Arial Unicode MS"/>
          <w:b/>
          <w:sz w:val="20"/>
          <w:u w:val="single"/>
        </w:rPr>
        <w:t>d’au moins 2 ans</w:t>
      </w:r>
      <w:r>
        <w:rPr>
          <w:rFonts w:ascii="Arial Unicode MS" w:eastAsia="Arial Unicode MS" w:hAnsi="Arial Unicode MS" w:cs="Arial Unicode MS"/>
          <w:sz w:val="20"/>
        </w:rPr>
        <w:t xml:space="preserve"> sur une fonction similaire est exigée, idéalement acquise au sein d’une Industrie Pharmaceutique.</w:t>
      </w:r>
    </w:p>
    <w:p w14:paraId="28684D50" w14:textId="77777777" w:rsidR="00722B4E" w:rsidRDefault="00152BC4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Votre maîtrise professionnelle des techniques HPLC et GC vous permettra d’être rapidement opérationnel(le). </w:t>
      </w:r>
    </w:p>
    <w:p w14:paraId="28684D51" w14:textId="77777777" w:rsidR="00722B4E" w:rsidRDefault="00722B4E">
      <w:pPr>
        <w:ind w:left="705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14:paraId="28684D52" w14:textId="77777777" w:rsidR="00722B4E" w:rsidRDefault="00152BC4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Salaire : selon profil et expérience. </w:t>
      </w:r>
    </w:p>
    <w:p w14:paraId="28684D53" w14:textId="77777777" w:rsidR="00722B4E" w:rsidRDefault="00152BC4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Avantages : 13</w:t>
      </w:r>
      <w:r>
        <w:rPr>
          <w:rFonts w:ascii="Arial Unicode MS" w:eastAsia="Arial Unicode MS" w:hAnsi="Arial Unicode MS" w:cs="Arial Unicode MS"/>
          <w:sz w:val="20"/>
          <w:vertAlign w:val="superscript"/>
        </w:rPr>
        <w:t>ème</w:t>
      </w:r>
      <w:r>
        <w:rPr>
          <w:rFonts w:ascii="Arial Unicode MS" w:eastAsia="Arial Unicode MS" w:hAnsi="Arial Unicode MS" w:cs="Arial Unicode MS"/>
          <w:sz w:val="20"/>
        </w:rPr>
        <w:t xml:space="preserve"> mois. </w:t>
      </w:r>
      <w:r w:rsidR="00EA7BBB">
        <w:rPr>
          <w:rFonts w:ascii="Arial Unicode MS" w:eastAsia="Arial Unicode MS" w:hAnsi="Arial Unicode MS" w:cs="Arial Unicode MS"/>
          <w:sz w:val="20"/>
        </w:rPr>
        <w:t xml:space="preserve">Participation aux bénéfices. </w:t>
      </w:r>
      <w:r>
        <w:rPr>
          <w:rFonts w:ascii="Arial Unicode MS" w:eastAsia="Arial Unicode MS" w:hAnsi="Arial Unicode MS" w:cs="Arial Unicode MS"/>
          <w:sz w:val="20"/>
        </w:rPr>
        <w:t>Mutuelle de l’industrie pharmaceutique avec participation de l’employeur. Restaurant d’entreprise avec participation de l’employeur. Accès aux avantages du CSE.</w:t>
      </w:r>
    </w:p>
    <w:p w14:paraId="28684D54" w14:textId="77777777" w:rsidR="00722B4E" w:rsidRDefault="00722B4E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</w:p>
    <w:p w14:paraId="28684D55" w14:textId="77777777" w:rsidR="00722B4E" w:rsidRDefault="00152BC4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Horaires en journée (variables). Possibilité de travailler en 2x8 occasionnellement.</w:t>
      </w:r>
    </w:p>
    <w:p w14:paraId="28684D56" w14:textId="77777777" w:rsidR="00722B4E" w:rsidRDefault="00152BC4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 jours de RTT à l’année.</w:t>
      </w:r>
    </w:p>
    <w:p w14:paraId="28684D57" w14:textId="77777777" w:rsidR="00722B4E" w:rsidRDefault="00722B4E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</w:p>
    <w:p w14:paraId="28684D58" w14:textId="77777777" w:rsidR="00722B4E" w:rsidRDefault="00152BC4">
      <w:pPr>
        <w:ind w:left="705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Formation et tutorat assuré par l’équipe.</w:t>
      </w:r>
      <w:r w:rsidR="00EA7BBB">
        <w:rPr>
          <w:rFonts w:ascii="Arial Unicode MS" w:eastAsia="Arial Unicode MS" w:hAnsi="Arial Unicode MS" w:cs="Arial Unicode MS"/>
          <w:sz w:val="20"/>
        </w:rPr>
        <w:t xml:space="preserve"> </w:t>
      </w:r>
    </w:p>
    <w:p w14:paraId="28684D59" w14:textId="77777777" w:rsidR="00722B4E" w:rsidRDefault="00722B4E">
      <w:pPr>
        <w:jc w:val="both"/>
        <w:rPr>
          <w:rFonts w:ascii="Arial Unicode MS" w:eastAsia="Arial Unicode MS" w:hAnsi="Arial Unicode MS" w:cs="Arial Unicode MS"/>
          <w:sz w:val="20"/>
        </w:rPr>
      </w:pPr>
    </w:p>
    <w:p w14:paraId="28684D5A" w14:textId="77777777" w:rsidR="00722B4E" w:rsidRDefault="00152BC4">
      <w:pPr>
        <w:ind w:left="708"/>
        <w:jc w:val="both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b/>
          <w:sz w:val="20"/>
        </w:rPr>
        <w:t>Poste à pourvoir dès que possible.</w:t>
      </w:r>
    </w:p>
    <w:p w14:paraId="28684D5B" w14:textId="77777777" w:rsidR="00722B4E" w:rsidRDefault="00722B4E">
      <w:pPr>
        <w:ind w:left="708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28684D5C" w14:textId="77777777" w:rsidR="00722B4E" w:rsidRDefault="00152BC4">
      <w:pPr>
        <w:ind w:left="708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Candidature (CV + lettre de motivation en précisant vos prétentions salariales et vos dates de disponibilité) à l’adresse mail : job@adhexpharma.com</w:t>
      </w:r>
    </w:p>
    <w:p w14:paraId="28684D5D" w14:textId="77777777" w:rsidR="00722B4E" w:rsidRDefault="00722B4E">
      <w:pPr>
        <w:jc w:val="both"/>
        <w:rPr>
          <w:rFonts w:ascii="Arial Unicode MS" w:eastAsia="Arial Unicode MS" w:hAnsi="Arial Unicode MS" w:cs="Arial Unicode MS"/>
          <w:sz w:val="20"/>
        </w:rPr>
      </w:pPr>
    </w:p>
    <w:p w14:paraId="28684D5E" w14:textId="77777777" w:rsidR="00722B4E" w:rsidRDefault="00722B4E">
      <w:pPr>
        <w:ind w:left="708"/>
        <w:jc w:val="both"/>
        <w:rPr>
          <w:rFonts w:ascii="Arial Unicode MS" w:eastAsia="Arial Unicode MS" w:hAnsi="Arial Unicode MS" w:cs="Arial Unicode MS"/>
          <w:sz w:val="20"/>
        </w:rPr>
      </w:pPr>
    </w:p>
    <w:sectPr w:rsidR="00722B4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16" w:right="926" w:bottom="1418" w:left="42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4D61" w14:textId="77777777" w:rsidR="00722B4E" w:rsidRDefault="00152BC4">
      <w:r>
        <w:separator/>
      </w:r>
    </w:p>
  </w:endnote>
  <w:endnote w:type="continuationSeparator" w:id="0">
    <w:p w14:paraId="28684D62" w14:textId="77777777" w:rsidR="00722B4E" w:rsidRDefault="0015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gito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D64" w14:textId="77777777" w:rsidR="00722B4E" w:rsidRDefault="00152B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684D65" w14:textId="77777777" w:rsidR="00722B4E" w:rsidRDefault="00722B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D66" w14:textId="77777777" w:rsidR="00722B4E" w:rsidRDefault="00152B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8684D67" w14:textId="77777777" w:rsidR="00722B4E" w:rsidRDefault="00722B4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D6A" w14:textId="77777777" w:rsidR="00722B4E" w:rsidRDefault="00722B4E">
    <w:pPr>
      <w:pStyle w:val="Pieddepage"/>
      <w:tabs>
        <w:tab w:val="clear" w:pos="4536"/>
        <w:tab w:val="left" w:pos="180"/>
      </w:tabs>
      <w:ind w:left="180"/>
    </w:pPr>
  </w:p>
  <w:p w14:paraId="28684D6B" w14:textId="77777777" w:rsidR="00722B4E" w:rsidRDefault="00152BC4">
    <w:pPr>
      <w:pStyle w:val="Pieddepage"/>
      <w:spacing w:line="36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4D5F" w14:textId="77777777" w:rsidR="00722B4E" w:rsidRDefault="00152BC4">
      <w:r>
        <w:separator/>
      </w:r>
    </w:p>
  </w:footnote>
  <w:footnote w:type="continuationSeparator" w:id="0">
    <w:p w14:paraId="28684D60" w14:textId="77777777" w:rsidR="00722B4E" w:rsidRDefault="0015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D63" w14:textId="77777777" w:rsidR="00722B4E" w:rsidRDefault="00722B4E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D68" w14:textId="77777777" w:rsidR="00722B4E" w:rsidRDefault="00152BC4">
    <w:pPr>
      <w:pStyle w:val="En-tte"/>
      <w:ind w:left="709"/>
    </w:pPr>
    <w:r>
      <w:rPr>
        <w:noProof/>
      </w:rPr>
      <w:drawing>
        <wp:inline distT="0" distB="0" distL="0" distR="0" wp14:anchorId="28684D6C" wp14:editId="28684D6D">
          <wp:extent cx="5998845" cy="1054332"/>
          <wp:effectExtent l="0" t="0" r="1905" b="0"/>
          <wp:docPr id="2" name="Image 2" descr="201706_logo provis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06_logo provis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0328" cy="105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84D69" w14:textId="77777777" w:rsidR="00722B4E" w:rsidRDefault="00722B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4662"/>
    <w:multiLevelType w:val="hybridMultilevel"/>
    <w:tmpl w:val="CF36C7D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4E"/>
    <w:rsid w:val="00152BC4"/>
    <w:rsid w:val="00461D8C"/>
    <w:rsid w:val="00722B4E"/>
    <w:rsid w:val="00EA7BBB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684D42"/>
  <w15:docId w15:val="{F44621AC-7971-453D-91C1-FB63B19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08"/>
      <w:outlineLvl w:val="0"/>
    </w:pPr>
    <w:rPr>
      <w:rFonts w:ascii="Arial Unicode MS" w:eastAsia="Arial Unicode MS" w:hAnsi="Arial Unicode MS" w:cs="Arial Unicode MS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right="210"/>
      <w:outlineLvl w:val="3"/>
    </w:pPr>
    <w:rPr>
      <w:rFonts w:ascii="Arial" w:hAnsi="Arial" w:cs="Arial"/>
      <w:vanish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spacing w:line="360" w:lineRule="auto"/>
      <w:ind w:right="452"/>
      <w:jc w:val="both"/>
    </w:pPr>
    <w:rPr>
      <w:rFonts w:ascii="Arial" w:hAnsi="Arial" w:cs="Arial"/>
      <w:color w:val="000000"/>
      <w:sz w:val="20"/>
    </w:rPr>
  </w:style>
  <w:style w:type="paragraph" w:styleId="Normalcentr">
    <w:name w:val="Block Text"/>
    <w:basedOn w:val="Normal"/>
    <w:semiHidden/>
    <w:pPr>
      <w:spacing w:line="360" w:lineRule="auto"/>
      <w:ind w:left="480" w:right="332"/>
      <w:jc w:val="both"/>
    </w:pPr>
    <w:rPr>
      <w:rFonts w:ascii="Arial" w:hAnsi="Arial" w:cs="Arial"/>
      <w:color w:val="000000"/>
      <w:sz w:val="20"/>
    </w:rPr>
  </w:style>
  <w:style w:type="paragraph" w:styleId="Titre">
    <w:name w:val="Title"/>
    <w:basedOn w:val="Normal"/>
    <w:qFormat/>
    <w:pPr>
      <w:autoSpaceDE w:val="0"/>
      <w:autoSpaceDN w:val="0"/>
      <w:adjustRightInd w:val="0"/>
      <w:spacing w:line="240" w:lineRule="atLeast"/>
      <w:jc w:val="center"/>
    </w:pPr>
    <w:rPr>
      <w:rFonts w:ascii="Helv" w:hAnsi="Helv"/>
      <w:color w:val="000000"/>
      <w:sz w:val="44"/>
      <w:szCs w:val="20"/>
      <w:u w:val="single"/>
    </w:rPr>
  </w:style>
  <w:style w:type="paragraph" w:styleId="Corpsdetexte2">
    <w:name w:val="Body Text 2"/>
    <w:basedOn w:val="Normal"/>
    <w:semiHidden/>
    <w:pPr>
      <w:jc w:val="center"/>
    </w:pPr>
    <w:rPr>
      <w:rFonts w:ascii="Arial Unicode MS" w:hAnsi="Arial Unicode MS" w:cs="Arial Unicode MS"/>
      <w:b/>
      <w:bCs/>
      <w:sz w:val="28"/>
    </w:rPr>
  </w:style>
  <w:style w:type="paragraph" w:styleId="Retraitcorpsdetexte">
    <w:name w:val="Body Text Indent"/>
    <w:basedOn w:val="Normal"/>
    <w:semiHidden/>
    <w:pPr>
      <w:ind w:left="705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044ef8-fabb-484a-92e7-0c907ec4e039" xsi:nil="true"/>
    <TaxCatchAll xmlns="caeee427-cd8e-4def-93c2-c4abe46d05ab" xsi:nil="true"/>
    <lcf76f155ced4ddcb4097134ff3c332f xmlns="5f044ef8-fabb-484a-92e7-0c907ec4e0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988EB5B62584AA2E6D45C66D46D0A" ma:contentTypeVersion="17" ma:contentTypeDescription="Crée un document." ma:contentTypeScope="" ma:versionID="62573cd6b148091e316abf30114a4cf3">
  <xsd:schema xmlns:xsd="http://www.w3.org/2001/XMLSchema" xmlns:xs="http://www.w3.org/2001/XMLSchema" xmlns:p="http://schemas.microsoft.com/office/2006/metadata/properties" xmlns:ns2="5f044ef8-fabb-484a-92e7-0c907ec4e039" xmlns:ns3="caeee427-cd8e-4def-93c2-c4abe46d05ab" targetNamespace="http://schemas.microsoft.com/office/2006/metadata/properties" ma:root="true" ma:fieldsID="f3521277d1687d9e1e67dc34196cc492" ns2:_="" ns3:_="">
    <xsd:import namespace="5f044ef8-fabb-484a-92e7-0c907ec4e039"/>
    <xsd:import namespace="caeee427-cd8e-4def-93c2-c4abe46d0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4ef8-fabb-484a-92e7-0c907ec4e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a51780ae-8947-4f3f-9311-2fe0388b1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e427-cd8e-4def-93c2-c4abe46d0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bd1a02-025b-452e-b1bf-2a13c6efa47e}" ma:internalName="TaxCatchAll" ma:showField="CatchAllData" ma:web="caeee427-cd8e-4def-93c2-c4abe46d0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647FC-085E-47F8-931B-8D6968FF1891}">
  <ds:schemaRefs>
    <ds:schemaRef ds:uri="http://schemas.microsoft.com/office/2006/metadata/properties"/>
    <ds:schemaRef ds:uri="http://schemas.microsoft.com/office/infopath/2007/PartnerControls"/>
    <ds:schemaRef ds:uri="5f044ef8-fabb-484a-92e7-0c907ec4e039"/>
  </ds:schemaRefs>
</ds:datastoreItem>
</file>

<file path=customXml/itemProps2.xml><?xml version="1.0" encoding="utf-8"?>
<ds:datastoreItem xmlns:ds="http://schemas.openxmlformats.org/officeDocument/2006/customXml" ds:itemID="{9E71A33F-1D1E-43B2-8EA4-744D1BDA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D4889-28E8-4C8F-BC8C-8DF5B6AB6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Dfdfdfgdfgdfgdg</vt:lpstr>
    </vt:vector>
  </TitlesOfParts>
  <Company>Groupe FOURNIER</Company>
  <LinksUpToDate>false</LinksUpToDate>
  <CharactersWithSpaces>1852</CharactersWithSpaces>
  <SharedDoc>false</SharedDoc>
  <HLinks>
    <vt:vector size="12" baseType="variant">
      <vt:variant>
        <vt:i4>3276813</vt:i4>
      </vt:variant>
      <vt:variant>
        <vt:i4>3</vt:i4>
      </vt:variant>
      <vt:variant>
        <vt:i4>0</vt:i4>
      </vt:variant>
      <vt:variant>
        <vt:i4>5</vt:i4>
      </vt:variant>
      <vt:variant>
        <vt:lpwstr>mailto:job@plastopharma.com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http://www.plastopharma.com/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Dfdfdfgdfgdfgdg</dc:title>
  <dc:creator>licence open</dc:creator>
  <cp:lastModifiedBy>Julie GODO</cp:lastModifiedBy>
  <cp:revision>4</cp:revision>
  <cp:lastPrinted>2018-04-23T09:16:00Z</cp:lastPrinted>
  <dcterms:created xsi:type="dcterms:W3CDTF">2021-07-02T12:33:00Z</dcterms:created>
  <dcterms:modified xsi:type="dcterms:W3CDTF">2022-03-30T09:15:00Z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0x010100712988EB5B62584AA2E6D45C66D46D0A</vt:lpwstr>
  </property>
  <property fmtid="{D5CDD505-2E9C-101B-9397-08002B2CF9AE}" pid="3" name="Order">
    <vt:r8>3008200</vt:r8>
  </property>
</Properties>
</file>